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20"/>
        <w:gridCol w:w="172"/>
        <w:gridCol w:w="1182"/>
        <w:gridCol w:w="1085"/>
        <w:gridCol w:w="665"/>
        <w:gridCol w:w="341"/>
        <w:gridCol w:w="1361"/>
        <w:gridCol w:w="748"/>
        <w:gridCol w:w="2324"/>
        <w:gridCol w:w="1061"/>
      </w:tblGrid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b w:val="0"/>
                <w:szCs w:val="18"/>
                <w:lang w:val="sr-Cyrl-CS"/>
              </w:rPr>
            </w:pPr>
            <w:bookmarkStart w:id="0" w:name="_Toc365932616"/>
            <w:r w:rsidRPr="001515D0">
              <w:rPr>
                <w:rFonts w:eastAsia="Times New Roman"/>
                <w:b w:val="0"/>
                <w:szCs w:val="18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17"/>
            <w:r w:rsidRPr="001515D0">
              <w:rPr>
                <w:rFonts w:eastAsia="Times New Roman"/>
                <w:lang w:val="sr-Cyrl-CS"/>
              </w:rPr>
              <w:t>Гордана П. Будимир-Нинковић</w:t>
            </w:r>
            <w:bookmarkEnd w:id="1"/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В</w:t>
            </w:r>
            <w:r w:rsidRPr="00893AC7">
              <w:rPr>
                <w:szCs w:val="18"/>
                <w:lang w:val="sr-Cyrl-CS"/>
              </w:rPr>
              <w:t>анредни професор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Факултет педагошких наука Универзитета у Крагујевцу,</w:t>
            </w:r>
            <w:r>
              <w:rPr>
                <w:szCs w:val="18"/>
                <w:lang w:val="sr-Cyrl-CS"/>
              </w:rPr>
              <w:t xml:space="preserve"> Јагодина,</w:t>
            </w:r>
            <w:r w:rsidRPr="00893AC7">
              <w:rPr>
                <w:szCs w:val="18"/>
                <w:lang w:val="sr-Cyrl-CS"/>
              </w:rPr>
              <w:t xml:space="preserve"> од 16.11.1994</w:t>
            </w:r>
            <w:r>
              <w:rPr>
                <w:szCs w:val="18"/>
                <w:lang w:val="sr-Cyrl-CS"/>
              </w:rPr>
              <w:t>.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П</w:t>
            </w:r>
            <w:r w:rsidRPr="00893AC7">
              <w:rPr>
                <w:szCs w:val="18"/>
                <w:lang w:val="sr-Cyrl-CS"/>
              </w:rPr>
              <w:t>едаг</w:t>
            </w:r>
            <w:r>
              <w:rPr>
                <w:szCs w:val="18"/>
                <w:lang w:val="sr-Cyrl-CS"/>
              </w:rPr>
              <w:t>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</w:rPr>
              <w:t>Академска каријера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Област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Избор у звање:</w:t>
            </w:r>
          </w:p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ванредни професор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2012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2002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Српском Сарајеву, Филозофски факултет Српско Сарајево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>
              <w:rPr>
                <w:szCs w:val="18"/>
                <w:lang w:val="sr-Cyrl-CS"/>
              </w:rPr>
              <w:t>-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1993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Новом Саду, Технички факултет „Михајло Пупин“, Зрењанин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1978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Сарајеву, Филозофски факултет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b/>
                <w:szCs w:val="18"/>
                <w:lang w:val="ru-RU"/>
              </w:rPr>
            </w:pPr>
            <w:r w:rsidRPr="00893AC7">
              <w:rPr>
                <w:b/>
                <w:szCs w:val="18"/>
                <w:lang w:val="sr-Cyrl-CS"/>
              </w:rPr>
              <w:t xml:space="preserve">Списак предмета које наставник држи </w:t>
            </w:r>
            <w:r w:rsidRPr="00893AC7">
              <w:rPr>
                <w:b/>
                <w:szCs w:val="18"/>
                <w:lang w:val="ru-RU"/>
              </w:rPr>
              <w:t>на студијама првог и другог нивоа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211C1A" w:rsidP="005A71CF">
            <w:pPr>
              <w:rPr>
                <w:lang w:val="sr-Cyrl-CS"/>
              </w:rPr>
            </w:pPr>
            <w:hyperlink r:id="rId5" w:history="1">
              <w:r w:rsidR="00A211DE" w:rsidRPr="00211C1A">
                <w:rPr>
                  <w:rStyle w:val="Hyperlink"/>
                  <w:lang w:val="sr-Cyrl-CS"/>
                </w:rPr>
                <w:t>Увод у педагогију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211C1A" w:rsidP="005A71CF">
            <w:pPr>
              <w:rPr>
                <w:lang w:val="sr-Cyrl-CS"/>
              </w:rPr>
            </w:pPr>
            <w:hyperlink r:id="rId6" w:history="1">
              <w:r w:rsidR="00A211DE" w:rsidRPr="00211C1A">
                <w:rPr>
                  <w:rStyle w:val="Hyperlink"/>
                  <w:lang w:val="sr-Cyrl-CS"/>
                </w:rPr>
                <w:t>Школска и породична педагогија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Породична педагогија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211C1A" w:rsidP="005A71CF">
            <w:pPr>
              <w:rPr>
                <w:lang w:val="sr-Cyrl-CS"/>
              </w:rPr>
            </w:pPr>
            <w:hyperlink r:id="rId7" w:history="1">
              <w:r w:rsidR="00A211DE" w:rsidRPr="00211C1A">
                <w:rPr>
                  <w:rStyle w:val="Hyperlink"/>
                  <w:lang w:val="sr-Cyrl-CS"/>
                </w:rPr>
                <w:t>Педагоги</w:t>
              </w:r>
              <w:bookmarkStart w:id="2" w:name="_GoBack"/>
              <w:r w:rsidR="00A211DE" w:rsidRPr="00211C1A">
                <w:rPr>
                  <w:rStyle w:val="Hyperlink"/>
                  <w:lang w:val="sr-Cyrl-CS"/>
                </w:rPr>
                <w:t>ј</w:t>
              </w:r>
              <w:bookmarkEnd w:id="2"/>
              <w:r w:rsidR="00A211DE" w:rsidRPr="00211C1A">
                <w:rPr>
                  <w:rStyle w:val="Hyperlink"/>
                  <w:lang w:val="sr-Cyrl-CS"/>
                </w:rPr>
                <w:t>а слободног времена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Педагошка комуникологија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Феноменологија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(2013). </w:t>
            </w:r>
            <w:r w:rsidRPr="000B3BCD">
              <w:rPr>
                <w:i/>
                <w:sz w:val="18"/>
                <w:szCs w:val="18"/>
                <w:lang w:val="sr-Cyrl-CS"/>
              </w:rPr>
              <w:t>Педагогија слободног времена – хрестоматија, друго измењено и допуњено издање</w:t>
            </w:r>
            <w:r w:rsidRPr="004D04BF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Факултет педагошких наука Универзитета у Крагујевцу, Јагодина,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>, ИСБН 978-86-7604-106-0 ЦОБИСС.СР-ИД 196164108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(2012). </w:t>
            </w:r>
            <w:r w:rsidRPr="000B3BCD">
              <w:rPr>
                <w:i/>
                <w:sz w:val="18"/>
                <w:szCs w:val="18"/>
                <w:lang w:val="sr-Cyrl-CS"/>
              </w:rPr>
              <w:t>Стилови живота и вредности родитеља и деце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Јагодина:</w:t>
            </w:r>
            <w:r w:rsidRPr="004D04BF">
              <w:rPr>
                <w:sz w:val="18"/>
                <w:szCs w:val="18"/>
                <w:lang w:val="sr-Cyrl-CS"/>
              </w:rPr>
              <w:t>.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 xml:space="preserve"> ИСБН 978- 86-7604-084-1 ЦОБИСС.СР-ИД 191449868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B3BCD" w:rsidRDefault="00A211DE" w:rsidP="005A71CF">
            <w:pPr>
              <w:jc w:val="center"/>
              <w:rPr>
                <w:lang w:val="sr-Cyrl-CS"/>
              </w:rPr>
            </w:pPr>
            <w:r w:rsidRPr="000B3BCD">
              <w:rPr>
                <w:lang w:val="sr-Cyrl-CS"/>
              </w:rPr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</w:rPr>
            </w:pPr>
            <w:r w:rsidRPr="000B3BCD">
              <w:rPr>
                <w:sz w:val="18"/>
                <w:szCs w:val="18"/>
              </w:rPr>
              <w:t xml:space="preserve">Budimir-Ninković, G. </w:t>
            </w:r>
            <w:r>
              <w:rPr>
                <w:sz w:val="18"/>
                <w:szCs w:val="18"/>
                <w:lang w:val="sr-Cyrl-CS"/>
              </w:rPr>
              <w:t xml:space="preserve">(2011). </w:t>
            </w:r>
            <w:r w:rsidRPr="004D04BF">
              <w:rPr>
                <w:sz w:val="18"/>
                <w:szCs w:val="18"/>
              </w:rPr>
              <w:t>Edukacija nastavnika za organizovanje slobodnog vremena učenika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radsova – treći međunarodni naučno – stručni skup «Edukacija nastavnika za budućnost», Urednik Muhamed Arnaut Pedagoški fakultet, Zenica. str. 1043-1050. UDK 378 01(063) (082) ISBN 978-99-58-615-25-2 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(2011). </w:t>
            </w:r>
            <w:r w:rsidRPr="004D04BF">
              <w:rPr>
                <w:bCs/>
                <w:sz w:val="18"/>
                <w:szCs w:val="18"/>
              </w:rPr>
              <w:t>Васпитање у породици и школи данас</w:t>
            </w:r>
            <w:r>
              <w:rPr>
                <w:bCs/>
                <w:sz w:val="18"/>
                <w:szCs w:val="18"/>
                <w:lang w:val="sr-Cyrl-CS"/>
              </w:rPr>
              <w:t>.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bCs/>
                <w:sz w:val="18"/>
                <w:szCs w:val="18"/>
              </w:rPr>
              <w:t>Педагошки факултет</w:t>
            </w:r>
            <w:r>
              <w:rPr>
                <w:bCs/>
                <w:sz w:val="18"/>
                <w:szCs w:val="18"/>
                <w:lang w:val="sr-Cyrl-CS"/>
              </w:rPr>
              <w:t>. С</w:t>
            </w:r>
            <w:r w:rsidRPr="004D04BF">
              <w:rPr>
                <w:bCs/>
                <w:sz w:val="18"/>
                <w:szCs w:val="18"/>
              </w:rPr>
              <w:t>трана 1-226. . ЦИП - Каталогизација у публикацији Народна библиотека Србије, Београд 37.018.1/.2(035) ИСБН 978-86-7604-100-8 ЦОБИСС.СР-ИД 187272972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bCs/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Doživotno učenje: određenja i tendencije.Kvalitet obrazovnog sistema Srbije u evropskoj perspektivi, zbornik radova/knjiga 1.Urednik Olivera Gajić „Ka uspostavljanju vrednosnih okvira i standarda: odabrani teorijsko – metodološki koncepti“, 379 – 390. Filozofski fakultet, Novi Sad, UD</w:t>
            </w:r>
            <w:r w:rsidRPr="004D04BF">
              <w:rPr>
                <w:sz w:val="18"/>
                <w:szCs w:val="18"/>
                <w:lang w:val="sr-Cyrl-CS"/>
              </w:rPr>
              <w:t>K</w:t>
            </w:r>
            <w:r w:rsidRPr="004D04BF">
              <w:rPr>
                <w:sz w:val="18"/>
                <w:szCs w:val="18"/>
              </w:rPr>
              <w:t xml:space="preserve"> 377.4 ISBN 978-86-6065-093-3COBISS.SR-ID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Interkulturalne kompetencije učitelja. Učitelj u balkanskim kulturama - Tematski zbornik, Učiteljski fakultet u Vranju, Međunarodni naučni skup, Izdavač prof. dr Stana Smiljković, urednik: prof. dr Sunčica Denić, 479-492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 w:rsidRPr="004D04BF">
              <w:rPr>
                <w:sz w:val="18"/>
                <w:szCs w:val="18"/>
              </w:rPr>
              <w:t>373 (497)(082) 371.12(479.11):929(082) ISBN 978-86-82695-82-0 COBISS.SR-ID 186201100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(2010). </w:t>
            </w:r>
            <w:r w:rsidRPr="004D04BF">
              <w:rPr>
                <w:sz w:val="18"/>
                <w:szCs w:val="18"/>
              </w:rPr>
              <w:t>Savremene vrednosne orijentacije mladih.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sz w:val="18"/>
                <w:szCs w:val="18"/>
              </w:rPr>
              <w:t>Banjalučki novembarski susreti „Kultura i obrazovanje- determinante društvenoga progresa (dostignuća, problemi, perspektive), Filozofski fakultet Banjaluka. Zbornik sa naučnog skupa, glavni urednik: Drago Branković. 393-412 UDK 37.01(082) ISBN 978-99955-59-22-9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Budimir-Ninković, G</w:t>
            </w:r>
            <w:r w:rsidRPr="004D04B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 xml:space="preserve">(2010). </w:t>
            </w:r>
            <w:r w:rsidRPr="004D04BF">
              <w:rPr>
                <w:sz w:val="18"/>
                <w:szCs w:val="18"/>
              </w:rPr>
              <w:t>The role of school in educating young people on multiculturalism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The proceedings of the international symposium on “Multiculturalism in Education”, Suleyman Demirel University, Trakya University, urednik prof. dr Hilmi Ibar i assoc. prof. dr Husein Gul, Isparta, Turska, 13 – 24. ISBN 978-9944-425-39-7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12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 xml:space="preserve">Укупан број радова са </w:t>
            </w:r>
            <w:r w:rsidRPr="00893AC7">
              <w:rPr>
                <w:szCs w:val="18"/>
                <w:lang w:val="en-US"/>
              </w:rPr>
              <w:t>SCI</w:t>
            </w:r>
            <w:r w:rsidRPr="00893AC7">
              <w:rPr>
                <w:szCs w:val="18"/>
                <w:lang w:val="sr-Cyrl-CS"/>
              </w:rPr>
              <w:t xml:space="preserve"> (</w:t>
            </w:r>
            <w:r w:rsidRPr="00893AC7">
              <w:rPr>
                <w:szCs w:val="18"/>
                <w:lang w:val="en-US"/>
              </w:rPr>
              <w:t>SSCI</w:t>
            </w:r>
            <w:r w:rsidRPr="00893AC7">
              <w:rPr>
                <w:szCs w:val="18"/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23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</w:rPr>
              <w:t>Тренутно у</w:t>
            </w:r>
            <w:r w:rsidRPr="00893AC7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Домаћи 1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Међународни 4</w:t>
            </w:r>
          </w:p>
        </w:tc>
      </w:tr>
      <w:tr w:rsidR="00A211DE" w:rsidRPr="004D04BF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F90A74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F90A74" w:rsidRDefault="00A211DE" w:rsidP="005A71CF">
            <w:pPr>
              <w:rPr>
                <w:i/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sz w:val="18"/>
                <w:szCs w:val="18"/>
                <w:lang w:eastAsia="en-US"/>
              </w:rPr>
              <w:t>У</w:t>
            </w:r>
            <w:r w:rsidRPr="00F90A74">
              <w:rPr>
                <w:sz w:val="18"/>
                <w:szCs w:val="18"/>
                <w:lang w:val="sr-Cyrl-CS" w:eastAsia="en-US"/>
              </w:rPr>
              <w:t>ч</w:t>
            </w:r>
            <w:r w:rsidRPr="00F90A74">
              <w:rPr>
                <w:sz w:val="18"/>
                <w:szCs w:val="18"/>
                <w:lang w:eastAsia="en-US"/>
              </w:rPr>
              <w:t>е</w:t>
            </w:r>
            <w:r w:rsidRPr="00F90A74">
              <w:rPr>
                <w:sz w:val="18"/>
                <w:szCs w:val="18"/>
                <w:lang w:val="sr-Cyrl-CS" w:eastAsia="en-US"/>
              </w:rPr>
              <w:t>шћ</w:t>
            </w:r>
            <w:r w:rsidRPr="00F90A74">
              <w:rPr>
                <w:sz w:val="18"/>
                <w:szCs w:val="18"/>
                <w:lang w:eastAsia="en-US"/>
              </w:rPr>
              <w:t>еурадуXIIIсветскогконгресакомпаративнихпедагога</w:t>
            </w:r>
            <w:r w:rsidRPr="00F90A74">
              <w:rPr>
                <w:sz w:val="18"/>
                <w:szCs w:val="18"/>
                <w:lang w:val="sr-Cyrl-CS" w:eastAsia="en-US"/>
              </w:rPr>
              <w:t xml:space="preserve"> (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Ж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иветизаједно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 xml:space="preserve">: 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едукацијаиинтеркултуралнидијалог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),</w:t>
            </w:r>
            <w:r w:rsidRPr="00F90A74">
              <w:rPr>
                <w:iCs/>
                <w:sz w:val="18"/>
                <w:szCs w:val="18"/>
                <w:lang w:eastAsia="en-US"/>
              </w:rPr>
              <w:t>Сарајево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2-7.09.2007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Студијски боравци: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1. до 31.7.1981. Ростов Велики – Совјетски Савез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6. до 13. 11.2006. Сарганс – Швајцарска</w:t>
            </w:r>
          </w:p>
          <w:p w:rsidR="00A211DE" w:rsidRPr="004D04BF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октобар 2008. Хелсинки </w:t>
            </w:r>
            <w:r>
              <w:rPr>
                <w:iCs/>
                <w:sz w:val="18"/>
                <w:szCs w:val="18"/>
                <w:lang w:val="sr-Cyrl-CS" w:eastAsia="en-US"/>
              </w:rPr>
              <w:t>–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Финска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4D04BF">
              <w:rPr>
                <w:sz w:val="18"/>
                <w:szCs w:val="18"/>
                <w:lang w:val="sr-Cyrl-CS"/>
              </w:rPr>
              <w:t xml:space="preserve">Други подаци </w:t>
            </w:r>
          </w:p>
        </w:tc>
      </w:tr>
    </w:tbl>
    <w:p w:rsidR="00F75EB4" w:rsidRPr="00A211DE" w:rsidRDefault="00F75EB4" w:rsidP="00A211DE"/>
    <w:sectPr w:rsidR="00F75EB4" w:rsidRPr="00A211D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11C1A"/>
    <w:rsid w:val="002679FC"/>
    <w:rsid w:val="00686FCE"/>
    <w:rsid w:val="006B2CC7"/>
    <w:rsid w:val="006F7B2F"/>
    <w:rsid w:val="008107D3"/>
    <w:rsid w:val="00A211DE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211C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C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211C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C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24.%20Pedagogija_slobodnog_vremen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54.%20Skolska_i_porodicna_pedagogija.doc" TargetMode="External"/><Relationship Id="rId5" Type="http://schemas.openxmlformats.org/officeDocument/2006/relationships/hyperlink" Target="../../Tabele/Tabela%205.2/6.%20Uvod_u_pedagogiju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2013-09-24T09:17:00Z</dcterms:created>
  <dcterms:modified xsi:type="dcterms:W3CDTF">2013-09-27T11:00:00Z</dcterms:modified>
</cp:coreProperties>
</file>